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1C74E" w14:textId="5E2954C1" w:rsidR="00FA262B" w:rsidRPr="00FA262B" w:rsidRDefault="00FA262B" w:rsidP="00C81098">
      <w:pPr>
        <w:rPr>
          <w:b/>
          <w:bCs/>
        </w:rPr>
      </w:pPr>
      <w:r w:rsidRPr="00FA262B">
        <w:rPr>
          <w:b/>
          <w:bCs/>
        </w:rPr>
        <w:t>27 August 2021 (Day 1): Questions and Answers</w:t>
      </w:r>
    </w:p>
    <w:p w14:paraId="0DBFCA55" w14:textId="78C58CF4" w:rsidR="00FA262B" w:rsidRPr="00097D2E" w:rsidRDefault="00FA262B" w:rsidP="004922B6">
      <w:pPr>
        <w:jc w:val="both"/>
        <w:rPr>
          <w:b/>
          <w:bCs/>
        </w:rPr>
      </w:pPr>
      <w:r w:rsidRPr="00097D2E">
        <w:rPr>
          <w:b/>
          <w:bCs/>
        </w:rPr>
        <w:t>Q: Is the mentioned OIE is standard OIE, not the advanced one?</w:t>
      </w:r>
    </w:p>
    <w:p w14:paraId="6DB12077" w14:textId="3F3762A0" w:rsidR="00FA262B" w:rsidRDefault="00FA262B" w:rsidP="004922B6">
      <w:pPr>
        <w:jc w:val="both"/>
      </w:pPr>
      <w:r>
        <w:t>A</w:t>
      </w:r>
      <w:r w:rsidRPr="00FA262B">
        <w:t>: Correct</w:t>
      </w:r>
      <w:r>
        <w:t xml:space="preserve">, </w:t>
      </w:r>
      <w:r w:rsidRPr="00FA262B">
        <w:t>the standards D1Cs apply to graduates, the Advanced competen</w:t>
      </w:r>
      <w:r>
        <w:t>c</w:t>
      </w:r>
      <w:r w:rsidRPr="00FA262B">
        <w:t>ies (except in outline) apply to vets in the VS</w:t>
      </w:r>
      <w:r>
        <w:t>.</w:t>
      </w:r>
    </w:p>
    <w:p w14:paraId="417710C6" w14:textId="47423CC8" w:rsidR="00C81098" w:rsidRDefault="00097D2E" w:rsidP="004922B6">
      <w:pPr>
        <w:jc w:val="both"/>
        <w:rPr>
          <w:b/>
          <w:bCs/>
        </w:rPr>
      </w:pPr>
      <w:r w:rsidRPr="00097D2E">
        <w:rPr>
          <w:b/>
          <w:bCs/>
        </w:rPr>
        <w:t xml:space="preserve">Q: </w:t>
      </w:r>
      <w:r w:rsidR="00C81098" w:rsidRPr="00097D2E">
        <w:rPr>
          <w:b/>
          <w:bCs/>
        </w:rPr>
        <w:t>The Day 1- Competencies focus on the veterinary service for public goods, do we need to consider the private goods or other essential elements in order to mobilize Vet among ASEAN countries.</w:t>
      </w:r>
    </w:p>
    <w:p w14:paraId="0F2E6983" w14:textId="200FDF19" w:rsidR="00097D2E" w:rsidRDefault="00097D2E" w:rsidP="004922B6">
      <w:pPr>
        <w:jc w:val="both"/>
      </w:pPr>
      <w:r w:rsidRPr="00097D2E">
        <w:t>A:</w:t>
      </w:r>
      <w:r>
        <w:t xml:space="preserve"> Yes, I think so. That is why I think that the OIE D1C are the part of the accreditation that represents a minimum for the livestock and infectious disease control; but additional minima are needed to cover other aspects of veterinary activity, especially in non-livestock species</w:t>
      </w:r>
    </w:p>
    <w:p w14:paraId="1BEE9016" w14:textId="6B18A211" w:rsidR="005518D0" w:rsidRPr="005518D0" w:rsidRDefault="005518D0" w:rsidP="004922B6">
      <w:pPr>
        <w:jc w:val="both"/>
        <w:rPr>
          <w:b/>
          <w:bCs/>
        </w:rPr>
      </w:pPr>
      <w:r w:rsidRPr="005518D0">
        <w:rPr>
          <w:b/>
          <w:bCs/>
        </w:rPr>
        <w:t>Q: How is regulation of the practice performed in vet professionals with lifetime license?</w:t>
      </w:r>
    </w:p>
    <w:p w14:paraId="65F153A9" w14:textId="77777777" w:rsidR="005518D0" w:rsidRDefault="005518D0" w:rsidP="004922B6">
      <w:pPr>
        <w:jc w:val="both"/>
      </w:pPr>
      <w:r>
        <w:t>A: Very difficult to do so, except through formal disciplinary processes. Annual re-licensing can, for example, take into account recency of practice, completion of continuing education requirements etc. Gives the VSB a lot more effective control....</w:t>
      </w:r>
    </w:p>
    <w:p w14:paraId="50ED1CAE" w14:textId="77777777" w:rsidR="005518D0" w:rsidRDefault="005518D0" w:rsidP="004922B6">
      <w:pPr>
        <w:jc w:val="both"/>
      </w:pPr>
      <w:r w:rsidRPr="00097D2E">
        <w:t>Important to note that registration and license to practice are not necessarily the same. Registration is based upon qualifications, but license to practice can be based upon fitness to practice. As such, registration can be lifetime, but license can be annual/multi year.</w:t>
      </w:r>
    </w:p>
    <w:p w14:paraId="65344C00" w14:textId="77777777" w:rsidR="004922B6" w:rsidRPr="004922B6" w:rsidRDefault="004922B6" w:rsidP="004922B6">
      <w:pPr>
        <w:rPr>
          <w:b/>
          <w:bCs/>
        </w:rPr>
      </w:pPr>
      <w:r w:rsidRPr="004922B6">
        <w:rPr>
          <w:b/>
          <w:bCs/>
        </w:rPr>
        <w:t>Q: Veterinary School in ASEAN region are approved by which organization?</w:t>
      </w:r>
    </w:p>
    <w:p w14:paraId="3AD2C837" w14:textId="77A339D5" w:rsidR="004922B6" w:rsidRDefault="004922B6" w:rsidP="004922B6">
      <w:r>
        <w:t>A: Meanwhile, they are approved by their relevant national authorities.</w:t>
      </w:r>
    </w:p>
    <w:p w14:paraId="4BEE9B30" w14:textId="5657859C" w:rsidR="004922B6" w:rsidRDefault="004922B6" w:rsidP="004922B6">
      <w:pPr>
        <w:rPr>
          <w:b/>
          <w:bCs/>
        </w:rPr>
      </w:pPr>
      <w:r w:rsidRPr="004922B6">
        <w:rPr>
          <w:b/>
          <w:bCs/>
        </w:rPr>
        <w:t>Q: Please share your suggestion for a vet school to be able to get day-1 competences under COVID-19 crisis that most of schools are on-line teaching (in Thailand)</w:t>
      </w:r>
    </w:p>
    <w:p w14:paraId="3C5260A3" w14:textId="2D90A448" w:rsidR="004922B6" w:rsidRDefault="004922B6" w:rsidP="000D4FE8">
      <w:pPr>
        <w:jc w:val="both"/>
      </w:pPr>
      <w:r>
        <w:t>A: The most important thing is that the VEE can show that its students/graduates have met its program LOs and D1Cs.... can it meet its stated outcomes. In Australia, we have managed the lockdowns through (I) alternative teaching methods, (ii) extending the duration of the program (especially the final year) (iii) rigorous assessment of clinical competency. In Thailand, the Registration Exam provides additional reassurance to the VSB that students have met standards. The important point is that students meet competency by graduation, and that th</w:t>
      </w:r>
      <w:r w:rsidR="0030601A">
        <w:t>at</w:t>
      </w:r>
      <w:r>
        <w:t xml:space="preserve"> take</w:t>
      </w:r>
      <w:r w:rsidR="0030601A">
        <w:t>s</w:t>
      </w:r>
      <w:r>
        <w:t xml:space="preserve"> whatever time is needed (i.e. move beyond rigid academic year timetables)….</w:t>
      </w:r>
    </w:p>
    <w:p w14:paraId="20FB1BE6" w14:textId="6C86AA16" w:rsidR="0030601A" w:rsidRDefault="0030601A" w:rsidP="000D4FE8">
      <w:pPr>
        <w:jc w:val="both"/>
      </w:pPr>
      <w:r w:rsidRPr="0030601A">
        <w:t>In the Philippines, we are applying for approval by the government through CHED for limited F2F (face-to-face) classes in veterinary clinics/clinical internship, surgery and thesis and this is justified by the accompanying hands-on competencies and skills to develop.</w:t>
      </w:r>
    </w:p>
    <w:p w14:paraId="1D98787F" w14:textId="14F03864" w:rsidR="0030601A" w:rsidRDefault="0030601A" w:rsidP="000D4FE8">
      <w:pPr>
        <w:jc w:val="both"/>
      </w:pPr>
      <w:r>
        <w:t>Other things that Australian schools did was (I) have 'boot camps' of very intensive practical instruction after the end of lockdown, (ii) identifying material that didn't need to be taught face to face (e.g. tutorials, case rounds etc.) (iii)  Skill labs became very highly used. And, like the Philippines, dispensations were sought to keep the VTH clinics open and for students to be able to work in those clinics</w:t>
      </w:r>
    </w:p>
    <w:p w14:paraId="773F844D" w14:textId="3CA60B22" w:rsidR="0030601A" w:rsidRDefault="0030601A" w:rsidP="000D4FE8">
      <w:pPr>
        <w:jc w:val="both"/>
        <w:rPr>
          <w:b/>
          <w:bCs/>
        </w:rPr>
      </w:pPr>
      <w:r w:rsidRPr="00BB61F9">
        <w:rPr>
          <w:b/>
          <w:bCs/>
        </w:rPr>
        <w:t xml:space="preserve">Q: </w:t>
      </w:r>
      <w:r w:rsidR="00A8527A" w:rsidRPr="00BB61F9">
        <w:rPr>
          <w:b/>
          <w:bCs/>
        </w:rPr>
        <w:t>In order to meet the VEE accreditation standards, is it possible for assistance from AV</w:t>
      </w:r>
      <w:r w:rsidR="00BB61F9">
        <w:rPr>
          <w:b/>
          <w:bCs/>
        </w:rPr>
        <w:t>SB</w:t>
      </w:r>
      <w:r w:rsidR="00A8527A" w:rsidRPr="00BB61F9">
        <w:rPr>
          <w:b/>
          <w:bCs/>
        </w:rPr>
        <w:t>N or established VSB to the developed ones? In Indonesia previously the Independent Accreditation Board provide an assistance to the Veterinary School who will submit for national accreditation.</w:t>
      </w:r>
    </w:p>
    <w:p w14:paraId="4905FBAE" w14:textId="226D7A98" w:rsidR="00BB61F9" w:rsidRDefault="00BB61F9" w:rsidP="000D4FE8">
      <w:pPr>
        <w:jc w:val="both"/>
      </w:pPr>
      <w:r>
        <w:lastRenderedPageBreak/>
        <w:t>A: Y</w:t>
      </w:r>
      <w:r w:rsidRPr="00BB61F9">
        <w:t>es, the OIE VSB twinning scheme would probably provide for this. Also, an aim of the VCT twinning program was to enable it to work alongside other ASEAN VSBs, either by themselves, or with input from an outside body (e.g. AVBC)</w:t>
      </w:r>
    </w:p>
    <w:p w14:paraId="2770188C" w14:textId="638F676A" w:rsidR="00FA262B" w:rsidRPr="00A62DDF" w:rsidRDefault="00A62DDF" w:rsidP="00A62DDF">
      <w:pPr>
        <w:jc w:val="both"/>
        <w:rPr>
          <w:b/>
          <w:bCs/>
        </w:rPr>
      </w:pPr>
      <w:r w:rsidRPr="00A62DDF">
        <w:rPr>
          <w:b/>
          <w:bCs/>
        </w:rPr>
        <w:t xml:space="preserve">Q: </w:t>
      </w:r>
      <w:r w:rsidR="00FA262B" w:rsidRPr="00A62DDF">
        <w:rPr>
          <w:b/>
          <w:bCs/>
        </w:rPr>
        <w:t>How long it will take time for the whole accreditation process for a VEE?</w:t>
      </w:r>
    </w:p>
    <w:p w14:paraId="0F7F4938" w14:textId="036DE15D" w:rsidR="00A62DDF" w:rsidRDefault="00A62DDF" w:rsidP="00A62DDF">
      <w:pPr>
        <w:jc w:val="both"/>
      </w:pPr>
      <w:r>
        <w:t xml:space="preserve">A: </w:t>
      </w:r>
      <w:r w:rsidRPr="00A62DDF">
        <w:t>Accreditation site visits typically last one week, with quite a lot of prior evaluation of documents by the visit team. In terms of preparing a VSB for doing this, AVBC runs site visitor training courses on a periodic basis. The main benefit that AVBC has (VCT does the same) is that it has a permanent committee responsible for accreditation, who are the guardians of the relevant knowledge and processes for the accreditation of VEES</w:t>
      </w:r>
    </w:p>
    <w:p w14:paraId="506177F5" w14:textId="19FE35C2" w:rsidR="00613F72" w:rsidRPr="00A62DDF" w:rsidRDefault="00A62DDF" w:rsidP="00613F72">
      <w:pPr>
        <w:rPr>
          <w:b/>
          <w:bCs/>
        </w:rPr>
      </w:pPr>
      <w:r w:rsidRPr="00A62DDF">
        <w:rPr>
          <w:b/>
          <w:bCs/>
        </w:rPr>
        <w:t xml:space="preserve">Q: </w:t>
      </w:r>
      <w:r w:rsidR="00613F72" w:rsidRPr="00A62DDF">
        <w:rPr>
          <w:b/>
          <w:bCs/>
        </w:rPr>
        <w:t>How about the program outcomes which is usually the basis of the curriculum? Where is this included?</w:t>
      </w:r>
    </w:p>
    <w:p w14:paraId="4861242D" w14:textId="6B22594F" w:rsidR="00A62DDF" w:rsidRDefault="00A62DDF" w:rsidP="00A62DDF">
      <w:pPr>
        <w:jc w:val="both"/>
      </w:pPr>
      <w:r>
        <w:t>A: T</w:t>
      </w:r>
      <w:r w:rsidRPr="00A62DDF">
        <w:t>here are outcomes within the program that describe the knowledge, skills, behaviours and competencies that graduates achieve. There are also outcomes that are 'beyond' the curriculum... namely, how well do graduates perform in the workplace?... and are the latter data used to inform development/change within the program?</w:t>
      </w:r>
    </w:p>
    <w:p w14:paraId="48D7F134" w14:textId="0C917219" w:rsidR="00236AC9" w:rsidRPr="00EA20B2" w:rsidRDefault="00EA20B2" w:rsidP="00EA20B2">
      <w:pPr>
        <w:spacing w:line="240" w:lineRule="auto"/>
        <w:jc w:val="both"/>
        <w:textAlignment w:val="baseline"/>
        <w:rPr>
          <w:rFonts w:ascii="Calibri" w:eastAsia="Times New Roman" w:hAnsi="Calibri" w:cs="Calibri"/>
          <w:b/>
          <w:bCs/>
          <w:szCs w:val="22"/>
        </w:rPr>
      </w:pPr>
      <w:r w:rsidRPr="00EA20B2">
        <w:rPr>
          <w:rFonts w:ascii="Calibri" w:eastAsia="Times New Roman" w:hAnsi="Calibri" w:cs="Calibri"/>
          <w:b/>
          <w:bCs/>
          <w:szCs w:val="22"/>
          <w:bdr w:val="none" w:sz="0" w:space="0" w:color="auto" w:frame="1"/>
        </w:rPr>
        <w:t>Q:</w:t>
      </w:r>
      <w:r w:rsidR="00236AC9" w:rsidRPr="00EA20B2">
        <w:rPr>
          <w:rFonts w:ascii="Calibri" w:eastAsia="Times New Roman" w:hAnsi="Calibri" w:cs="Calibri"/>
          <w:b/>
          <w:bCs/>
          <w:szCs w:val="22"/>
          <w:bdr w:val="none" w:sz="0" w:space="0" w:color="auto" w:frame="1"/>
        </w:rPr>
        <w:t xml:space="preserve"> May I ask some questions that relate to </w:t>
      </w:r>
      <w:r>
        <w:rPr>
          <w:rFonts w:ascii="Calibri" w:eastAsia="Times New Roman" w:hAnsi="Calibri" w:cs="Calibri"/>
          <w:b/>
          <w:bCs/>
          <w:szCs w:val="22"/>
          <w:bdr w:val="none" w:sz="0" w:space="0" w:color="auto" w:frame="1"/>
        </w:rPr>
        <w:t>VCT</w:t>
      </w:r>
      <w:r w:rsidR="00236AC9" w:rsidRPr="00EA20B2">
        <w:rPr>
          <w:rFonts w:ascii="Calibri" w:eastAsia="Times New Roman" w:hAnsi="Calibri" w:cs="Calibri"/>
          <w:b/>
          <w:bCs/>
          <w:szCs w:val="22"/>
          <w:bdr w:val="none" w:sz="0" w:space="0" w:color="auto" w:frame="1"/>
        </w:rPr>
        <w:t xml:space="preserve"> presentation? How many percentage</w:t>
      </w:r>
      <w:r>
        <w:rPr>
          <w:rFonts w:ascii="Calibri" w:eastAsia="Times New Roman" w:hAnsi="Calibri" w:cs="Calibri"/>
          <w:b/>
          <w:bCs/>
          <w:szCs w:val="22"/>
          <w:bdr w:val="none" w:sz="0" w:space="0" w:color="auto" w:frame="1"/>
        </w:rPr>
        <w:t>s</w:t>
      </w:r>
      <w:r w:rsidR="00236AC9" w:rsidRPr="00EA20B2">
        <w:rPr>
          <w:rFonts w:ascii="Calibri" w:eastAsia="Times New Roman" w:hAnsi="Calibri" w:cs="Calibri"/>
          <w:b/>
          <w:bCs/>
          <w:szCs w:val="22"/>
          <w:bdr w:val="none" w:sz="0" w:space="0" w:color="auto" w:frame="1"/>
        </w:rPr>
        <w:t xml:space="preserve"> of DVM students pass </w:t>
      </w:r>
      <w:r>
        <w:rPr>
          <w:rFonts w:ascii="Calibri" w:eastAsia="Times New Roman" w:hAnsi="Calibri" w:cs="Calibri"/>
          <w:b/>
          <w:bCs/>
          <w:szCs w:val="22"/>
          <w:bdr w:val="none" w:sz="0" w:space="0" w:color="auto" w:frame="1"/>
        </w:rPr>
        <w:t xml:space="preserve">to be </w:t>
      </w:r>
      <w:r w:rsidR="00236AC9" w:rsidRPr="00EA20B2">
        <w:rPr>
          <w:rFonts w:ascii="Calibri" w:eastAsia="Times New Roman" w:hAnsi="Calibri" w:cs="Calibri"/>
          <w:b/>
          <w:bCs/>
          <w:szCs w:val="22"/>
          <w:bdr w:val="none" w:sz="0" w:space="0" w:color="auto" w:frame="1"/>
        </w:rPr>
        <w:t>the VSB member</w:t>
      </w:r>
      <w:r>
        <w:rPr>
          <w:rFonts w:ascii="Calibri" w:eastAsia="Times New Roman" w:hAnsi="Calibri" w:cs="Calibri"/>
          <w:b/>
          <w:bCs/>
          <w:szCs w:val="22"/>
          <w:bdr w:val="none" w:sz="0" w:space="0" w:color="auto" w:frame="1"/>
        </w:rPr>
        <w:t>s</w:t>
      </w:r>
      <w:r w:rsidR="00236AC9" w:rsidRPr="00EA20B2">
        <w:rPr>
          <w:rFonts w:ascii="Calibri" w:eastAsia="Times New Roman" w:hAnsi="Calibri" w:cs="Calibri"/>
          <w:b/>
          <w:bCs/>
          <w:szCs w:val="22"/>
          <w:bdr w:val="none" w:sz="0" w:space="0" w:color="auto" w:frame="1"/>
        </w:rPr>
        <w:t xml:space="preserve">? Is it possible for DVMs to work on animal health if they fail the exam? Are there any English version for VSB examination? </w:t>
      </w:r>
    </w:p>
    <w:p w14:paraId="5C75E28F" w14:textId="1C986B8C" w:rsidR="00EA20B2" w:rsidRPr="00EA20B2" w:rsidRDefault="00EA20B2" w:rsidP="00EA20B2">
      <w:pPr>
        <w:shd w:val="clear" w:color="auto" w:fill="FFFFFF"/>
        <w:spacing w:after="0"/>
        <w:jc w:val="both"/>
        <w:textAlignment w:val="baseline"/>
        <w:rPr>
          <w:rFonts w:eastAsia="Times New Roman" w:cstheme="minorHAnsi"/>
          <w:szCs w:val="22"/>
        </w:rPr>
      </w:pPr>
      <w:r>
        <w:rPr>
          <w:rFonts w:eastAsia="Times New Roman" w:cstheme="minorHAnsi"/>
          <w:szCs w:val="22"/>
          <w:bdr w:val="none" w:sz="0" w:space="0" w:color="auto" w:frame="1"/>
        </w:rPr>
        <w:t xml:space="preserve">A: </w:t>
      </w:r>
      <w:r w:rsidRPr="00EA20B2">
        <w:rPr>
          <w:rFonts w:eastAsia="Times New Roman" w:cstheme="minorHAnsi"/>
          <w:szCs w:val="22"/>
          <w:bdr w:val="none" w:sz="0" w:space="0" w:color="auto" w:frame="1"/>
        </w:rPr>
        <w:t>Concerning the percentage of DVM students passing the national examination, it depends on the Faculties. However, the passing percentage ranged from less than 50% to 95% at the first examination. The DVM students could take the first national examination when they have finished their 5th year study of the 6-year DVM program, and have fulfilled all required courses of those 5 years. The national examination divides into 2 major parts; Part I comprises the principle, general, basic veterinary knowledge, and Part II comprised the integrated veterinary knowledge. The students must pass both Part I and Part II, then, we would say that "they pass the exam". If they fail either of the Parts or both Parts, then "they fail the exam". For those students who fail either of the parts, they can keep the results of the Part that they pass for 3 years, and can re-test only the failing part. The VCT allows them to take re-examination of the failing part for the maximum of 6 times (including the first examination). If they cannot pass during the 3</w:t>
      </w:r>
      <w:r>
        <w:rPr>
          <w:rFonts w:eastAsia="Times New Roman" w:cstheme="minorHAnsi"/>
          <w:szCs w:val="22"/>
          <w:bdr w:val="none" w:sz="0" w:space="0" w:color="auto" w:frame="1"/>
        </w:rPr>
        <w:t>-</w:t>
      </w:r>
      <w:r w:rsidRPr="00EA20B2">
        <w:rPr>
          <w:rFonts w:eastAsia="Times New Roman" w:cstheme="minorHAnsi"/>
          <w:szCs w:val="22"/>
          <w:bdr w:val="none" w:sz="0" w:space="0" w:color="auto" w:frame="1"/>
        </w:rPr>
        <w:t>year examination (6 times), the score of the passing Part will be expired after 3 years. In this case, they have to test again both Part I and Part II. </w:t>
      </w:r>
    </w:p>
    <w:p w14:paraId="31816D67" w14:textId="77777777" w:rsidR="00EA20B2" w:rsidRPr="00EA20B2" w:rsidRDefault="00EA20B2" w:rsidP="00EA20B2">
      <w:pPr>
        <w:shd w:val="clear" w:color="auto" w:fill="FFFFFF"/>
        <w:spacing w:after="0"/>
        <w:jc w:val="both"/>
        <w:textAlignment w:val="baseline"/>
        <w:rPr>
          <w:rFonts w:eastAsia="Times New Roman" w:cstheme="minorHAnsi"/>
          <w:szCs w:val="22"/>
        </w:rPr>
      </w:pPr>
      <w:r w:rsidRPr="00EA20B2">
        <w:rPr>
          <w:rFonts w:eastAsia="Times New Roman" w:cstheme="minorHAnsi"/>
          <w:szCs w:val="22"/>
          <w:bdr w:val="none" w:sz="0" w:space="0" w:color="auto" w:frame="1"/>
        </w:rPr>
        <w:t>In general, the VCT organizes the nation examination twice a year. Meaning, the students have 3 opportunities to take the national examination before they graduate (the end of 5th year, the middle of 6th year, and the end of 6th year). They can take examinations after they graduate until they pass both Part I and Part II.</w:t>
      </w:r>
    </w:p>
    <w:p w14:paraId="4D4EE002" w14:textId="77777777" w:rsidR="00EA20B2" w:rsidRPr="00EA20B2" w:rsidRDefault="00EA20B2" w:rsidP="00EA20B2">
      <w:pPr>
        <w:shd w:val="clear" w:color="auto" w:fill="FFFFFF"/>
        <w:spacing w:after="0"/>
        <w:jc w:val="both"/>
        <w:textAlignment w:val="baseline"/>
        <w:rPr>
          <w:rFonts w:eastAsia="Times New Roman" w:cstheme="minorHAnsi"/>
          <w:szCs w:val="22"/>
        </w:rPr>
      </w:pPr>
      <w:r w:rsidRPr="00EA20B2">
        <w:rPr>
          <w:rFonts w:eastAsia="Times New Roman" w:cstheme="minorHAnsi"/>
          <w:szCs w:val="22"/>
          <w:bdr w:val="none" w:sz="0" w:space="0" w:color="auto" w:frame="1"/>
        </w:rPr>
        <w:t>If they could not pass the national examination, they are not able to apply for being the VCT membership and for the veterinary licensure. Of course, they can work on animal health sector, but not as a licensed veterinarian. They are totally prohibited by law to work as a veterinarian.</w:t>
      </w:r>
    </w:p>
    <w:p w14:paraId="65F49387" w14:textId="5C82D037" w:rsidR="00EA20B2" w:rsidRDefault="00EA20B2" w:rsidP="003968F2">
      <w:pPr>
        <w:shd w:val="clear" w:color="auto" w:fill="FFFFFF"/>
        <w:jc w:val="both"/>
        <w:textAlignment w:val="baseline"/>
        <w:rPr>
          <w:rFonts w:eastAsia="Times New Roman" w:cstheme="minorHAnsi"/>
          <w:szCs w:val="22"/>
          <w:bdr w:val="none" w:sz="0" w:space="0" w:color="auto" w:frame="1"/>
        </w:rPr>
      </w:pPr>
      <w:r w:rsidRPr="00EA20B2">
        <w:rPr>
          <w:rFonts w:eastAsia="Times New Roman" w:cstheme="minorHAnsi"/>
          <w:szCs w:val="22"/>
          <w:bdr w:val="none" w:sz="0" w:space="0" w:color="auto" w:frame="1"/>
        </w:rPr>
        <w:t xml:space="preserve">At the moment, the VCT examination is only conducted in </w:t>
      </w:r>
      <w:r>
        <w:rPr>
          <w:rFonts w:eastAsia="Times New Roman" w:cstheme="minorHAnsi"/>
          <w:szCs w:val="22"/>
          <w:bdr w:val="none" w:sz="0" w:space="0" w:color="auto" w:frame="1"/>
        </w:rPr>
        <w:t>Thai</w:t>
      </w:r>
      <w:r w:rsidRPr="00EA20B2">
        <w:rPr>
          <w:rFonts w:eastAsia="Times New Roman" w:cstheme="minorHAnsi"/>
          <w:szCs w:val="22"/>
          <w:bdr w:val="none" w:sz="0" w:space="0" w:color="auto" w:frame="1"/>
        </w:rPr>
        <w:t>, not in English. </w:t>
      </w:r>
    </w:p>
    <w:p w14:paraId="79D18593" w14:textId="7110A257" w:rsidR="007A32C8" w:rsidRPr="007A32C8" w:rsidRDefault="007A32C8" w:rsidP="007A32C8">
      <w:pPr>
        <w:shd w:val="clear" w:color="auto" w:fill="FFFFFF"/>
        <w:spacing w:after="0" w:line="240" w:lineRule="auto"/>
        <w:textAlignment w:val="baseline"/>
        <w:rPr>
          <w:rFonts w:eastAsia="Times New Roman" w:cstheme="minorHAnsi"/>
          <w:b/>
          <w:bCs/>
          <w:szCs w:val="22"/>
        </w:rPr>
      </w:pPr>
      <w:r w:rsidRPr="007A32C8">
        <w:rPr>
          <w:rFonts w:eastAsia="Times New Roman" w:cstheme="minorHAnsi"/>
          <w:b/>
          <w:bCs/>
          <w:szCs w:val="22"/>
          <w:bdr w:val="none" w:sz="0" w:space="0" w:color="auto" w:frame="1"/>
        </w:rPr>
        <w:t>Q: H</w:t>
      </w:r>
      <w:r w:rsidRPr="007A32C8">
        <w:rPr>
          <w:rFonts w:eastAsia="Times New Roman" w:cstheme="minorHAnsi"/>
          <w:b/>
          <w:bCs/>
          <w:szCs w:val="22"/>
          <w:bdr w:val="none" w:sz="0" w:space="0" w:color="auto" w:frame="1"/>
        </w:rPr>
        <w:t xml:space="preserve">ow about VCT accreditation </w:t>
      </w:r>
      <w:r w:rsidRPr="007A32C8">
        <w:rPr>
          <w:rFonts w:eastAsia="Times New Roman" w:cstheme="minorHAnsi"/>
          <w:b/>
          <w:bCs/>
          <w:szCs w:val="22"/>
          <w:bdr w:val="none" w:sz="0" w:space="0" w:color="auto" w:frame="1"/>
        </w:rPr>
        <w:t xml:space="preserve">to </w:t>
      </w:r>
      <w:r w:rsidRPr="007A32C8">
        <w:rPr>
          <w:rFonts w:eastAsia="Times New Roman" w:cstheme="minorHAnsi"/>
          <w:b/>
          <w:bCs/>
          <w:szCs w:val="22"/>
          <w:bdr w:val="none" w:sz="0" w:space="0" w:color="auto" w:frame="1"/>
        </w:rPr>
        <w:t>accom</w:t>
      </w:r>
      <w:r w:rsidRPr="007A32C8">
        <w:rPr>
          <w:rFonts w:eastAsia="Times New Roman" w:cstheme="minorHAnsi"/>
          <w:b/>
          <w:bCs/>
          <w:szCs w:val="22"/>
          <w:bdr w:val="none" w:sz="0" w:space="0" w:color="auto" w:frame="1"/>
        </w:rPr>
        <w:t>m</w:t>
      </w:r>
      <w:r w:rsidRPr="007A32C8">
        <w:rPr>
          <w:rFonts w:eastAsia="Times New Roman" w:cstheme="minorHAnsi"/>
          <w:b/>
          <w:bCs/>
          <w:szCs w:val="22"/>
          <w:bdr w:val="none" w:sz="0" w:space="0" w:color="auto" w:frame="1"/>
        </w:rPr>
        <w:t>odate the AUN QA criteria</w:t>
      </w:r>
      <w:r>
        <w:rPr>
          <w:rFonts w:eastAsia="Times New Roman" w:cstheme="minorHAnsi"/>
          <w:b/>
          <w:bCs/>
          <w:szCs w:val="22"/>
          <w:bdr w:val="none" w:sz="0" w:space="0" w:color="auto" w:frame="1"/>
        </w:rPr>
        <w:t>?</w:t>
      </w:r>
    </w:p>
    <w:p w14:paraId="75FE518F" w14:textId="698F9A10" w:rsidR="007A32C8" w:rsidRPr="007A32C8" w:rsidRDefault="007A32C8" w:rsidP="007A32C8">
      <w:pPr>
        <w:shd w:val="clear" w:color="auto" w:fill="FFFFFF"/>
        <w:spacing w:after="0" w:line="240" w:lineRule="auto"/>
        <w:jc w:val="both"/>
        <w:textAlignment w:val="baseline"/>
        <w:rPr>
          <w:rFonts w:eastAsia="Times New Roman" w:cstheme="minorHAnsi"/>
          <w:szCs w:val="22"/>
        </w:rPr>
      </w:pPr>
      <w:r>
        <w:rPr>
          <w:rFonts w:eastAsia="Times New Roman" w:cstheme="minorHAnsi"/>
          <w:szCs w:val="22"/>
          <w:bdr w:val="none" w:sz="0" w:space="0" w:color="auto" w:frame="1"/>
        </w:rPr>
        <w:lastRenderedPageBreak/>
        <w:t xml:space="preserve">A: </w:t>
      </w:r>
      <w:r w:rsidRPr="007A32C8">
        <w:rPr>
          <w:rFonts w:eastAsia="Times New Roman" w:cstheme="minorHAnsi"/>
          <w:szCs w:val="22"/>
          <w:bdr w:val="none" w:sz="0" w:space="0" w:color="auto" w:frame="1"/>
        </w:rPr>
        <w:t>The criteria of ANU QA might be partly related to the VCT accreditation standards. However, the process of accreditation of veterinary education establishments by the VCT has somewhat different mechanism from the ANU QA process.</w:t>
      </w:r>
    </w:p>
    <w:p w14:paraId="217AC6EB" w14:textId="451639D2" w:rsidR="007A32C8" w:rsidRPr="00EA20B2" w:rsidRDefault="007A32C8" w:rsidP="007A32C8">
      <w:pPr>
        <w:shd w:val="clear" w:color="auto" w:fill="FFFFFF"/>
        <w:spacing w:after="240" w:line="240" w:lineRule="auto"/>
        <w:jc w:val="both"/>
        <w:textAlignment w:val="baseline"/>
        <w:rPr>
          <w:rFonts w:eastAsia="Times New Roman" w:cstheme="minorHAnsi"/>
          <w:szCs w:val="22"/>
        </w:rPr>
      </w:pPr>
      <w:r w:rsidRPr="007A32C8">
        <w:rPr>
          <w:rFonts w:eastAsia="Times New Roman" w:cstheme="minorHAnsi"/>
          <w:szCs w:val="22"/>
          <w:bdr w:val="none" w:sz="0" w:space="0" w:color="auto" w:frame="1"/>
        </w:rPr>
        <w:t>In Thailand, we are now in the process of discussion whether the VCT (or other Thai Professional Councils, such as The Medical Council of Thailand, The Dental Council of Thailand, etc.) accreditation could accommodate the ANU QA criteria or the Thailand Qualification Framework for Higher Education, in order that the process of accreditation could be effective without any repetitive working.</w:t>
      </w:r>
    </w:p>
    <w:p w14:paraId="515C9D38" w14:textId="27DE852E" w:rsidR="007A105E" w:rsidRPr="003968F2" w:rsidRDefault="003968F2" w:rsidP="003968F2">
      <w:pPr>
        <w:jc w:val="center"/>
        <w:rPr>
          <w:b/>
          <w:bCs/>
        </w:rPr>
      </w:pPr>
      <w:r>
        <w:rPr>
          <w:b/>
          <w:bCs/>
        </w:rPr>
        <w:t>-------------------------------------------</w:t>
      </w:r>
    </w:p>
    <w:sectPr w:rsidR="007A105E" w:rsidRPr="00396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098"/>
    <w:rsid w:val="00097D2E"/>
    <w:rsid w:val="000D4FE8"/>
    <w:rsid w:val="001E09D9"/>
    <w:rsid w:val="00236AC9"/>
    <w:rsid w:val="0030601A"/>
    <w:rsid w:val="00346088"/>
    <w:rsid w:val="003968F2"/>
    <w:rsid w:val="00435BBE"/>
    <w:rsid w:val="004922B6"/>
    <w:rsid w:val="004F38F0"/>
    <w:rsid w:val="005518D0"/>
    <w:rsid w:val="00613F72"/>
    <w:rsid w:val="007A105E"/>
    <w:rsid w:val="007A32C8"/>
    <w:rsid w:val="007A6C6C"/>
    <w:rsid w:val="0085049D"/>
    <w:rsid w:val="0095122C"/>
    <w:rsid w:val="00A62DDF"/>
    <w:rsid w:val="00A8527A"/>
    <w:rsid w:val="00B07BA1"/>
    <w:rsid w:val="00B87E08"/>
    <w:rsid w:val="00B96C88"/>
    <w:rsid w:val="00BB61F9"/>
    <w:rsid w:val="00C81098"/>
    <w:rsid w:val="00D725EC"/>
    <w:rsid w:val="00E86830"/>
    <w:rsid w:val="00EA20B2"/>
    <w:rsid w:val="00F8659C"/>
    <w:rsid w:val="00FA262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C1F2E"/>
  <w15:chartTrackingRefBased/>
  <w15:docId w15:val="{FFFECCEC-579F-4A1B-ADA3-41DEEAE28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6AC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529319">
      <w:bodyDiv w:val="1"/>
      <w:marLeft w:val="0"/>
      <w:marRight w:val="0"/>
      <w:marTop w:val="0"/>
      <w:marBottom w:val="0"/>
      <w:divBdr>
        <w:top w:val="none" w:sz="0" w:space="0" w:color="auto"/>
        <w:left w:val="none" w:sz="0" w:space="0" w:color="auto"/>
        <w:bottom w:val="none" w:sz="0" w:space="0" w:color="auto"/>
        <w:right w:val="none" w:sz="0" w:space="0" w:color="auto"/>
      </w:divBdr>
      <w:divsChild>
        <w:div w:id="1560434579">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82804614">
              <w:marLeft w:val="0"/>
              <w:marRight w:val="0"/>
              <w:marTop w:val="0"/>
              <w:marBottom w:val="0"/>
              <w:divBdr>
                <w:top w:val="none" w:sz="0" w:space="0" w:color="auto"/>
                <w:left w:val="none" w:sz="0" w:space="0" w:color="auto"/>
                <w:bottom w:val="none" w:sz="0" w:space="0" w:color="auto"/>
                <w:right w:val="none" w:sz="0" w:space="0" w:color="auto"/>
              </w:divBdr>
              <w:divsChild>
                <w:div w:id="278267271">
                  <w:marLeft w:val="0"/>
                  <w:marRight w:val="0"/>
                  <w:marTop w:val="0"/>
                  <w:marBottom w:val="0"/>
                  <w:divBdr>
                    <w:top w:val="none" w:sz="0" w:space="0" w:color="auto"/>
                    <w:left w:val="none" w:sz="0" w:space="0" w:color="auto"/>
                    <w:bottom w:val="none" w:sz="0" w:space="0" w:color="auto"/>
                    <w:right w:val="none" w:sz="0" w:space="0" w:color="auto"/>
                  </w:divBdr>
                  <w:divsChild>
                    <w:div w:id="711000962">
                      <w:marLeft w:val="0"/>
                      <w:marRight w:val="0"/>
                      <w:marTop w:val="0"/>
                      <w:marBottom w:val="0"/>
                      <w:divBdr>
                        <w:top w:val="none" w:sz="0" w:space="0" w:color="auto"/>
                        <w:left w:val="none" w:sz="0" w:space="0" w:color="auto"/>
                        <w:bottom w:val="none" w:sz="0" w:space="0" w:color="auto"/>
                        <w:right w:val="none" w:sz="0" w:space="0" w:color="auto"/>
                      </w:divBdr>
                      <w:divsChild>
                        <w:div w:id="1729576177">
                          <w:marLeft w:val="0"/>
                          <w:marRight w:val="0"/>
                          <w:marTop w:val="0"/>
                          <w:marBottom w:val="0"/>
                          <w:divBdr>
                            <w:top w:val="none" w:sz="0" w:space="0" w:color="auto"/>
                            <w:left w:val="none" w:sz="0" w:space="0" w:color="auto"/>
                            <w:bottom w:val="none" w:sz="0" w:space="0" w:color="auto"/>
                            <w:right w:val="none" w:sz="0" w:space="0" w:color="auto"/>
                          </w:divBdr>
                        </w:div>
                        <w:div w:id="66222095">
                          <w:marLeft w:val="0"/>
                          <w:marRight w:val="0"/>
                          <w:marTop w:val="0"/>
                          <w:marBottom w:val="0"/>
                          <w:divBdr>
                            <w:top w:val="none" w:sz="0" w:space="0" w:color="auto"/>
                            <w:left w:val="none" w:sz="0" w:space="0" w:color="auto"/>
                            <w:bottom w:val="none" w:sz="0" w:space="0" w:color="auto"/>
                            <w:right w:val="none" w:sz="0" w:space="0" w:color="auto"/>
                          </w:divBdr>
                        </w:div>
                        <w:div w:id="1992320671">
                          <w:marLeft w:val="0"/>
                          <w:marRight w:val="0"/>
                          <w:marTop w:val="0"/>
                          <w:marBottom w:val="0"/>
                          <w:divBdr>
                            <w:top w:val="none" w:sz="0" w:space="0" w:color="auto"/>
                            <w:left w:val="none" w:sz="0" w:space="0" w:color="auto"/>
                            <w:bottom w:val="none" w:sz="0" w:space="0" w:color="auto"/>
                            <w:right w:val="none" w:sz="0" w:space="0" w:color="auto"/>
                          </w:divBdr>
                        </w:div>
                        <w:div w:id="1481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9052112">
      <w:bodyDiv w:val="1"/>
      <w:marLeft w:val="0"/>
      <w:marRight w:val="0"/>
      <w:marTop w:val="0"/>
      <w:marBottom w:val="0"/>
      <w:divBdr>
        <w:top w:val="none" w:sz="0" w:space="0" w:color="auto"/>
        <w:left w:val="none" w:sz="0" w:space="0" w:color="auto"/>
        <w:bottom w:val="none" w:sz="0" w:space="0" w:color="auto"/>
        <w:right w:val="none" w:sz="0" w:space="0" w:color="auto"/>
      </w:divBdr>
      <w:divsChild>
        <w:div w:id="2121220584">
          <w:marLeft w:val="0"/>
          <w:marRight w:val="0"/>
          <w:marTop w:val="0"/>
          <w:marBottom w:val="0"/>
          <w:divBdr>
            <w:top w:val="none" w:sz="0" w:space="0" w:color="auto"/>
            <w:left w:val="none" w:sz="0" w:space="0" w:color="auto"/>
            <w:bottom w:val="none" w:sz="0" w:space="0" w:color="auto"/>
            <w:right w:val="none" w:sz="0" w:space="0" w:color="auto"/>
          </w:divBdr>
        </w:div>
        <w:div w:id="2018843882">
          <w:marLeft w:val="0"/>
          <w:marRight w:val="0"/>
          <w:marTop w:val="0"/>
          <w:marBottom w:val="0"/>
          <w:divBdr>
            <w:top w:val="none" w:sz="0" w:space="0" w:color="auto"/>
            <w:left w:val="none" w:sz="0" w:space="0" w:color="auto"/>
            <w:bottom w:val="none" w:sz="0" w:space="0" w:color="auto"/>
            <w:right w:val="none" w:sz="0" w:space="0" w:color="auto"/>
          </w:divBdr>
          <w:divsChild>
            <w:div w:id="786510387">
              <w:marLeft w:val="0"/>
              <w:marRight w:val="0"/>
              <w:marTop w:val="0"/>
              <w:marBottom w:val="0"/>
              <w:divBdr>
                <w:top w:val="none" w:sz="0" w:space="0" w:color="auto"/>
                <w:left w:val="none" w:sz="0" w:space="0" w:color="auto"/>
                <w:bottom w:val="none" w:sz="0" w:space="0" w:color="auto"/>
                <w:right w:val="none" w:sz="0" w:space="0" w:color="auto"/>
              </w:divBdr>
              <w:divsChild>
                <w:div w:id="705834759">
                  <w:marLeft w:val="0"/>
                  <w:marRight w:val="0"/>
                  <w:marTop w:val="0"/>
                  <w:marBottom w:val="0"/>
                  <w:divBdr>
                    <w:top w:val="none" w:sz="0" w:space="0" w:color="auto"/>
                    <w:left w:val="none" w:sz="0" w:space="0" w:color="auto"/>
                    <w:bottom w:val="none" w:sz="0" w:space="0" w:color="auto"/>
                    <w:right w:val="none" w:sz="0" w:space="0" w:color="auto"/>
                  </w:divBdr>
                  <w:divsChild>
                    <w:div w:id="1202860908">
                      <w:marLeft w:val="0"/>
                      <w:marRight w:val="0"/>
                      <w:marTop w:val="0"/>
                      <w:marBottom w:val="0"/>
                      <w:divBdr>
                        <w:top w:val="none" w:sz="0" w:space="0" w:color="auto"/>
                        <w:left w:val="none" w:sz="0" w:space="0" w:color="auto"/>
                        <w:bottom w:val="none" w:sz="0" w:space="0" w:color="auto"/>
                        <w:right w:val="none" w:sz="0" w:space="0" w:color="auto"/>
                      </w:divBdr>
                      <w:divsChild>
                        <w:div w:id="6750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805791">
      <w:bodyDiv w:val="1"/>
      <w:marLeft w:val="0"/>
      <w:marRight w:val="0"/>
      <w:marTop w:val="0"/>
      <w:marBottom w:val="0"/>
      <w:divBdr>
        <w:top w:val="none" w:sz="0" w:space="0" w:color="auto"/>
        <w:left w:val="none" w:sz="0" w:space="0" w:color="auto"/>
        <w:bottom w:val="none" w:sz="0" w:space="0" w:color="auto"/>
        <w:right w:val="none" w:sz="0" w:space="0" w:color="auto"/>
      </w:divBdr>
      <w:divsChild>
        <w:div w:id="761148663">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799614950">
              <w:marLeft w:val="0"/>
              <w:marRight w:val="0"/>
              <w:marTop w:val="0"/>
              <w:marBottom w:val="0"/>
              <w:divBdr>
                <w:top w:val="none" w:sz="0" w:space="0" w:color="auto"/>
                <w:left w:val="none" w:sz="0" w:space="0" w:color="auto"/>
                <w:bottom w:val="none" w:sz="0" w:space="0" w:color="auto"/>
                <w:right w:val="none" w:sz="0" w:space="0" w:color="auto"/>
              </w:divBdr>
            </w:div>
            <w:div w:id="741490274">
              <w:marLeft w:val="0"/>
              <w:marRight w:val="0"/>
              <w:marTop w:val="0"/>
              <w:marBottom w:val="0"/>
              <w:divBdr>
                <w:top w:val="none" w:sz="0" w:space="0" w:color="auto"/>
                <w:left w:val="none" w:sz="0" w:space="0" w:color="auto"/>
                <w:bottom w:val="none" w:sz="0" w:space="0" w:color="auto"/>
                <w:right w:val="none" w:sz="0" w:space="0" w:color="auto"/>
              </w:divBdr>
            </w:div>
            <w:div w:id="1367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3</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Pennapa Matayompong</dc:creator>
  <cp:keywords/>
  <dc:description/>
  <cp:lastModifiedBy>Pennapa Matayompong</cp:lastModifiedBy>
  <cp:revision>17</cp:revision>
  <dcterms:created xsi:type="dcterms:W3CDTF">2021-08-27T01:42:00Z</dcterms:created>
  <dcterms:modified xsi:type="dcterms:W3CDTF">2021-08-30T08:12:00Z</dcterms:modified>
</cp:coreProperties>
</file>